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C89CE" w14:textId="77777777" w:rsidR="00022DE9" w:rsidRDefault="00022DE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5508"/>
      </w:tblGrid>
      <w:tr w:rsidR="00022DE9" w14:paraId="4B300A38" w14:textId="77777777">
        <w:tc>
          <w:tcPr>
            <w:tcW w:w="11016" w:type="dxa"/>
            <w:gridSpan w:val="2"/>
            <w:shd w:val="clear" w:color="auto" w:fill="000080"/>
          </w:tcPr>
          <w:p w14:paraId="7F7F919B" w14:textId="77777777" w:rsidR="00022DE9" w:rsidRDefault="00022DE9">
            <w:pPr>
              <w:rPr>
                <w:rFonts w:ascii="Arial Narrow" w:eastAsia="Arial Narrow" w:hAnsi="Arial Narrow" w:cs="Arial Narrow"/>
                <w:b/>
                <w:color w:val="FFFFFF"/>
              </w:rPr>
            </w:pPr>
          </w:p>
          <w:p w14:paraId="5C01DC1F" w14:textId="77777777" w:rsidR="00022DE9" w:rsidRDefault="007A1675">
            <w:pPr>
              <w:rPr>
                <w:rFonts w:ascii="Arial Narrow" w:eastAsia="Arial Narrow" w:hAnsi="Arial Narrow" w:cs="Arial Narrow"/>
                <w:b/>
                <w:color w:val="FFFFFF"/>
                <w:sz w:val="28"/>
                <w:szCs w:val="28"/>
              </w:rPr>
            </w:pPr>
            <w:r>
              <w:rPr>
                <w:rFonts w:ascii="Arial Narrow" w:eastAsia="Arial Narrow" w:hAnsi="Arial Narrow" w:cs="Arial Narrow"/>
                <w:b/>
                <w:color w:val="FFFFFF"/>
                <w:sz w:val="28"/>
                <w:szCs w:val="28"/>
              </w:rPr>
              <w:t>Approved for use in Grade 9</w:t>
            </w:r>
          </w:p>
          <w:p w14:paraId="4E6671FE" w14:textId="77777777" w:rsidR="00022DE9" w:rsidRDefault="00022DE9">
            <w:pPr>
              <w:rPr>
                <w:rFonts w:ascii="Arial Narrow" w:eastAsia="Arial Narrow" w:hAnsi="Arial Narrow" w:cs="Arial Narrow"/>
                <w:b/>
                <w:color w:val="FFFFFF"/>
              </w:rPr>
            </w:pPr>
          </w:p>
        </w:tc>
      </w:tr>
      <w:tr w:rsidR="00022DE9" w14:paraId="0032E312" w14:textId="77777777">
        <w:tc>
          <w:tcPr>
            <w:tcW w:w="5508" w:type="dxa"/>
            <w:shd w:val="clear" w:color="auto" w:fill="auto"/>
          </w:tcPr>
          <w:p w14:paraId="0D04E43B" w14:textId="77777777" w:rsidR="00022DE9" w:rsidRDefault="007A1675">
            <w:r>
              <w:rPr>
                <w:rFonts w:ascii="Arial" w:eastAsia="Arial" w:hAnsi="Arial" w:cs="Arial"/>
                <w:color w:val="484744"/>
                <w:highlight w:val="white"/>
              </w:rPr>
              <w:t>Summary: “Ji-li Jiang’s extraordinary memoir</w:t>
            </w:r>
            <w:r>
              <w:rPr>
                <w:rFonts w:ascii="Arial" w:eastAsia="Arial" w:hAnsi="Arial" w:cs="Arial"/>
                <w:i/>
                <w:color w:val="484744"/>
                <w:highlight w:val="white"/>
              </w:rPr>
              <w:t xml:space="preserve"> Red Scarf Girl </w:t>
            </w:r>
            <w:r>
              <w:rPr>
                <w:rFonts w:ascii="Arial" w:eastAsia="Arial" w:hAnsi="Arial" w:cs="Arial"/>
                <w:color w:val="484744"/>
                <w:highlight w:val="white"/>
              </w:rPr>
              <w:t>transports readers to a tumultuous time in Chinese history—the first two years of the Great Proletarian Cultural Revolution. Caught between conflicting forces—joining the Revolution’s call for rebellion, protecting her family, and fitting in with her peers—Jiang describes how her once-‘perfect’ world begins to crumble” (Strom 9)</w:t>
            </w:r>
          </w:p>
        </w:tc>
        <w:tc>
          <w:tcPr>
            <w:tcW w:w="5508" w:type="dxa"/>
            <w:shd w:val="clear" w:color="auto" w:fill="auto"/>
          </w:tcPr>
          <w:p w14:paraId="0FB475C4" w14:textId="77777777" w:rsidR="00022DE9" w:rsidRDefault="007A1675">
            <w:pPr>
              <w:rPr>
                <w:rFonts w:ascii="Arial" w:eastAsia="Arial" w:hAnsi="Arial" w:cs="Arial"/>
              </w:rPr>
            </w:pPr>
            <w:r>
              <w:rPr>
                <w:rFonts w:ascii="Arial Narrow" w:eastAsia="Arial Narrow" w:hAnsi="Arial Narrow" w:cs="Arial Narrow"/>
                <w:b/>
                <w:sz w:val="28"/>
                <w:szCs w:val="28"/>
              </w:rPr>
              <w:t xml:space="preserve">Rationale:  </w:t>
            </w:r>
            <w:r>
              <w:rPr>
                <w:rFonts w:ascii="Arial" w:eastAsia="Arial" w:hAnsi="Arial" w:cs="Arial"/>
              </w:rPr>
              <w:t>“Students are best able to learn and understand history by searching for connections between the events they are studying and their own personal experiences…What makes Red Scarf Girl such a compelling read</w:t>
            </w:r>
          </w:p>
          <w:p w14:paraId="19169AE0" w14:textId="77777777" w:rsidR="00022DE9" w:rsidRDefault="007A1675">
            <w:pPr>
              <w:rPr>
                <w:rFonts w:ascii="Arial" w:eastAsia="Arial" w:hAnsi="Arial" w:cs="Arial"/>
              </w:rPr>
            </w:pPr>
            <w:r>
              <w:rPr>
                <w:rFonts w:ascii="Arial" w:eastAsia="Arial" w:hAnsi="Arial" w:cs="Arial"/>
              </w:rPr>
              <w:t>for adolescents is that Ji-li Jiang’s story highlights how the Cultural Revolution heightened</w:t>
            </w:r>
          </w:p>
          <w:p w14:paraId="13403F78" w14:textId="77777777" w:rsidR="00022DE9" w:rsidRDefault="007A1675">
            <w:pPr>
              <w:rPr>
                <w:rFonts w:ascii="Arial" w:eastAsia="Arial" w:hAnsi="Arial" w:cs="Arial"/>
              </w:rPr>
            </w:pPr>
            <w:r>
              <w:rPr>
                <w:rFonts w:ascii="Arial" w:eastAsia="Arial" w:hAnsi="Arial" w:cs="Arial"/>
              </w:rPr>
              <w:t>these dilemmas for millions of adolescents in China. By reading about how Jiang and</w:t>
            </w:r>
          </w:p>
          <w:p w14:paraId="22CFABFF" w14:textId="77777777" w:rsidR="00022DE9" w:rsidRDefault="007A1675">
            <w:pPr>
              <w:rPr>
                <w:rFonts w:ascii="Arial" w:eastAsia="Arial" w:hAnsi="Arial" w:cs="Arial"/>
              </w:rPr>
            </w:pPr>
            <w:r>
              <w:rPr>
                <w:rFonts w:ascii="Arial" w:eastAsia="Arial" w:hAnsi="Arial" w:cs="Arial"/>
              </w:rPr>
              <w:t>her peers navigated through the complex ethical issues of that time, students have the</w:t>
            </w:r>
          </w:p>
          <w:p w14:paraId="14062178" w14:textId="77777777" w:rsidR="00022DE9" w:rsidRDefault="007A1675">
            <w:pPr>
              <w:rPr>
                <w:rFonts w:ascii="Arial" w:eastAsia="Arial" w:hAnsi="Arial" w:cs="Arial"/>
              </w:rPr>
            </w:pPr>
            <w:r>
              <w:rPr>
                <w:rFonts w:ascii="Arial" w:eastAsia="Arial" w:hAnsi="Arial" w:cs="Arial"/>
              </w:rPr>
              <w:t>opportunity to reflect on decisions they have made, and will make, about their own roles</w:t>
            </w:r>
          </w:p>
          <w:p w14:paraId="4A3EA52D" w14:textId="77777777" w:rsidR="00022DE9" w:rsidRDefault="007A1675">
            <w:pPr>
              <w:rPr>
                <w:rFonts w:ascii="Arial" w:eastAsia="Arial" w:hAnsi="Arial" w:cs="Arial"/>
              </w:rPr>
            </w:pPr>
            <w:r>
              <w:rPr>
                <w:rFonts w:ascii="Arial" w:eastAsia="Arial" w:hAnsi="Arial" w:cs="Arial"/>
              </w:rPr>
              <w:t>as members of families, peer groups, and a national community” (Strom 9).</w:t>
            </w:r>
          </w:p>
          <w:p w14:paraId="60538C1B" w14:textId="77777777" w:rsidR="00022DE9" w:rsidRDefault="00022DE9">
            <w:pPr>
              <w:rPr>
                <w:rFonts w:ascii="Arial Narrow" w:eastAsia="Arial Narrow" w:hAnsi="Arial Narrow" w:cs="Arial Narrow"/>
              </w:rPr>
            </w:pPr>
          </w:p>
        </w:tc>
      </w:tr>
      <w:tr w:rsidR="00022DE9" w14:paraId="7FE09049" w14:textId="77777777">
        <w:tc>
          <w:tcPr>
            <w:tcW w:w="5508" w:type="dxa"/>
            <w:tcBorders>
              <w:bottom w:val="single" w:sz="4" w:space="0" w:color="000000"/>
            </w:tcBorders>
            <w:shd w:val="clear" w:color="auto" w:fill="auto"/>
          </w:tcPr>
          <w:p w14:paraId="3B3DD54C" w14:textId="77777777" w:rsidR="00022DE9" w:rsidRDefault="007A1675">
            <w:pPr>
              <w:rPr>
                <w:rFonts w:ascii="Arial Narrow" w:eastAsia="Arial Narrow" w:hAnsi="Arial Narrow" w:cs="Arial Narrow"/>
                <w:b/>
                <w:sz w:val="28"/>
                <w:szCs w:val="28"/>
              </w:rPr>
            </w:pPr>
            <w:r>
              <w:rPr>
                <w:rFonts w:ascii="Arial Narrow" w:eastAsia="Arial Narrow" w:hAnsi="Arial Narrow" w:cs="Arial Narrow"/>
                <w:b/>
                <w:sz w:val="28"/>
                <w:szCs w:val="28"/>
              </w:rPr>
              <w:t>Professional Reviews and/or Critical Essays:</w:t>
            </w:r>
          </w:p>
          <w:p w14:paraId="4E2CA172" w14:textId="77777777" w:rsidR="00022DE9" w:rsidRDefault="00022DE9">
            <w:pPr>
              <w:ind w:left="360"/>
              <w:rPr>
                <w:rFonts w:ascii="Arial Narrow" w:eastAsia="Arial Narrow" w:hAnsi="Arial Narrow" w:cs="Arial Narrow"/>
                <w:sz w:val="20"/>
                <w:szCs w:val="20"/>
              </w:rPr>
            </w:pPr>
          </w:p>
          <w:p w14:paraId="213A7CAA" w14:textId="77777777" w:rsidR="00022DE9" w:rsidRDefault="007A1675">
            <w:pPr>
              <w:numPr>
                <w:ilvl w:val="0"/>
                <w:numId w:val="1"/>
              </w:numPr>
              <w:ind w:left="360"/>
              <w:rPr>
                <w:rFonts w:ascii="Arial Narrow" w:eastAsia="Arial Narrow" w:hAnsi="Arial Narrow" w:cs="Arial Narrow"/>
                <w:sz w:val="20"/>
                <w:szCs w:val="20"/>
              </w:rPr>
            </w:pPr>
            <w:r>
              <w:rPr>
                <w:rFonts w:ascii="Arial Narrow" w:eastAsia="Arial Narrow" w:hAnsi="Arial Narrow" w:cs="Arial Narrow"/>
                <w:i/>
                <w:sz w:val="20"/>
                <w:szCs w:val="20"/>
              </w:rPr>
              <w:t>Kirkus Reviews</w:t>
            </w:r>
            <w:r>
              <w:rPr>
                <w:rFonts w:ascii="Arial Narrow" w:eastAsia="Arial Narrow" w:hAnsi="Arial Narrow" w:cs="Arial Narrow"/>
                <w:sz w:val="20"/>
                <w:szCs w:val="20"/>
              </w:rPr>
              <w:t xml:space="preserve">:  </w:t>
            </w:r>
            <w:hyperlink r:id="rId8">
              <w:r>
                <w:rPr>
                  <w:rFonts w:ascii="Arial Narrow" w:eastAsia="Arial Narrow" w:hAnsi="Arial Narrow" w:cs="Arial Narrow"/>
                  <w:color w:val="1155CC"/>
                  <w:sz w:val="20"/>
                  <w:szCs w:val="20"/>
                  <w:u w:val="single"/>
                </w:rPr>
                <w:t>https://www.kirkusreviews.com/book-reviews/ji-li-jiang/red-scarf-girl/</w:t>
              </w:r>
            </w:hyperlink>
          </w:p>
          <w:p w14:paraId="5BCD4EF6" w14:textId="77777777" w:rsidR="00022DE9" w:rsidRDefault="007A1675">
            <w:pPr>
              <w:numPr>
                <w:ilvl w:val="0"/>
                <w:numId w:val="1"/>
              </w:numPr>
              <w:ind w:left="360"/>
              <w:rPr>
                <w:rFonts w:ascii="Arial Narrow" w:eastAsia="Arial Narrow" w:hAnsi="Arial Narrow" w:cs="Arial Narrow"/>
                <w:sz w:val="20"/>
                <w:szCs w:val="20"/>
              </w:rPr>
            </w:pPr>
            <w:r>
              <w:rPr>
                <w:rFonts w:ascii="Arial Narrow" w:eastAsia="Arial Narrow" w:hAnsi="Arial Narrow" w:cs="Arial Narrow"/>
                <w:i/>
                <w:sz w:val="20"/>
                <w:szCs w:val="20"/>
              </w:rPr>
              <w:t xml:space="preserve">Publisher’s Weekly: </w:t>
            </w:r>
            <w:hyperlink r:id="rId9">
              <w:r>
                <w:rPr>
                  <w:rFonts w:ascii="Arial Narrow" w:eastAsia="Arial Narrow" w:hAnsi="Arial Narrow" w:cs="Arial Narrow"/>
                  <w:color w:val="1155CC"/>
                  <w:sz w:val="20"/>
                  <w:szCs w:val="20"/>
                  <w:u w:val="single"/>
                </w:rPr>
                <w:t>https://www.publishersweekly.com/9780060275853</w:t>
              </w:r>
            </w:hyperlink>
          </w:p>
          <w:p w14:paraId="6E5B1EF6" w14:textId="77777777" w:rsidR="00022DE9" w:rsidRDefault="007A1675">
            <w:pPr>
              <w:numPr>
                <w:ilvl w:val="0"/>
                <w:numId w:val="1"/>
              </w:numPr>
              <w:ind w:left="360"/>
              <w:rPr>
                <w:rFonts w:ascii="Arial Narrow" w:eastAsia="Arial Narrow" w:hAnsi="Arial Narrow" w:cs="Arial Narrow"/>
                <w:sz w:val="20"/>
                <w:szCs w:val="20"/>
              </w:rPr>
            </w:pPr>
            <w:r>
              <w:rPr>
                <w:rFonts w:ascii="Arial Narrow" w:eastAsia="Arial Narrow" w:hAnsi="Arial Narrow" w:cs="Arial Narrow"/>
                <w:sz w:val="20"/>
                <w:szCs w:val="20"/>
              </w:rPr>
              <w:t>Resources are available from the library media center and libraries in the district.  Contact any Teacher-Librarian to view the scholarly sources.</w:t>
            </w:r>
          </w:p>
          <w:p w14:paraId="38BFBD47" w14:textId="77777777" w:rsidR="00022DE9" w:rsidRDefault="007A1675">
            <w:pPr>
              <w:numPr>
                <w:ilvl w:val="0"/>
                <w:numId w:val="1"/>
              </w:numPr>
              <w:ind w:left="360"/>
              <w:rPr>
                <w:rFonts w:ascii="Arial Narrow" w:eastAsia="Arial Narrow" w:hAnsi="Arial Narrow" w:cs="Arial Narrow"/>
                <w:sz w:val="20"/>
                <w:szCs w:val="20"/>
              </w:rPr>
            </w:pPr>
            <w:r>
              <w:rPr>
                <w:rFonts w:ascii="Arial Narrow" w:eastAsia="Arial Narrow" w:hAnsi="Arial Narrow" w:cs="Arial Narrow"/>
                <w:sz w:val="20"/>
                <w:szCs w:val="20"/>
              </w:rPr>
              <w:t>Scholarly reviews are also available online. Contact the Teacher-Librarian for guidance.</w:t>
            </w:r>
          </w:p>
        </w:tc>
        <w:tc>
          <w:tcPr>
            <w:tcW w:w="5508" w:type="dxa"/>
            <w:shd w:val="clear" w:color="auto" w:fill="auto"/>
          </w:tcPr>
          <w:p w14:paraId="2ECD14A7" w14:textId="77777777" w:rsidR="00022DE9" w:rsidRDefault="007A1675">
            <w:pPr>
              <w:rPr>
                <w:rFonts w:ascii="Arial" w:eastAsia="Arial" w:hAnsi="Arial" w:cs="Arial"/>
              </w:rPr>
            </w:pPr>
            <w:r>
              <w:rPr>
                <w:rFonts w:ascii="Arial Narrow" w:eastAsia="Arial Narrow" w:hAnsi="Arial Narrow" w:cs="Arial Narrow"/>
                <w:b/>
                <w:sz w:val="28"/>
                <w:szCs w:val="28"/>
              </w:rPr>
              <w:t xml:space="preserve">Noted Distinction: </w:t>
            </w:r>
            <w:r>
              <w:rPr>
                <w:rFonts w:ascii="Arial" w:eastAsia="Arial" w:hAnsi="Arial" w:cs="Arial"/>
              </w:rPr>
              <w:t>ALA 1998 Best Book for Young Adults, Judy Lopez Memorial Award for Children's Literature</w:t>
            </w:r>
          </w:p>
          <w:p w14:paraId="0C9E0591" w14:textId="77777777" w:rsidR="00022DE9" w:rsidRDefault="00022DE9">
            <w:pPr>
              <w:rPr>
                <w:rFonts w:ascii="Arial Narrow" w:eastAsia="Arial Narrow" w:hAnsi="Arial Narrow" w:cs="Arial Narrow"/>
                <w:b/>
                <w:sz w:val="28"/>
                <w:szCs w:val="28"/>
              </w:rPr>
            </w:pPr>
          </w:p>
          <w:p w14:paraId="25483650" w14:textId="77777777" w:rsidR="00022DE9" w:rsidRDefault="007A1675">
            <w:pPr>
              <w:rPr>
                <w:rFonts w:ascii="Arial Narrow" w:eastAsia="Arial Narrow" w:hAnsi="Arial Narrow" w:cs="Arial Narrow"/>
                <w:b/>
                <w:i/>
                <w:sz w:val="28"/>
                <w:szCs w:val="28"/>
              </w:rPr>
            </w:pPr>
            <w:r>
              <w:rPr>
                <w:rFonts w:ascii="Arial Narrow" w:eastAsia="Arial Narrow" w:hAnsi="Arial Narrow" w:cs="Arial Narrow"/>
                <w:b/>
                <w:sz w:val="28"/>
                <w:szCs w:val="28"/>
              </w:rPr>
              <w:t xml:space="preserve">Readability      </w:t>
            </w:r>
          </w:p>
          <w:p w14:paraId="5E585C19" w14:textId="77777777" w:rsidR="00022DE9" w:rsidRDefault="007A1675">
            <w:pPr>
              <w:numPr>
                <w:ilvl w:val="0"/>
                <w:numId w:val="2"/>
              </w:numPr>
              <w:rPr>
                <w:rFonts w:ascii="Arial Narrow" w:eastAsia="Arial Narrow" w:hAnsi="Arial Narrow" w:cs="Arial Narrow"/>
                <w:sz w:val="20"/>
                <w:szCs w:val="20"/>
              </w:rPr>
            </w:pPr>
            <w:r>
              <w:rPr>
                <w:rFonts w:ascii="Arial Narrow" w:eastAsia="Arial Narrow" w:hAnsi="Arial Narrow" w:cs="Arial Narrow"/>
                <w:sz w:val="20"/>
                <w:szCs w:val="20"/>
              </w:rPr>
              <w:t>Lexile Score:  780</w:t>
            </w:r>
          </w:p>
          <w:p w14:paraId="7ED21E65" w14:textId="77777777" w:rsidR="00022DE9" w:rsidRDefault="007A1675">
            <w:pPr>
              <w:numPr>
                <w:ilvl w:val="0"/>
                <w:numId w:val="2"/>
              </w:numPr>
              <w:rPr>
                <w:rFonts w:ascii="Arial Narrow" w:eastAsia="Arial Narrow" w:hAnsi="Arial Narrow" w:cs="Arial Narrow"/>
                <w:sz w:val="20"/>
                <w:szCs w:val="20"/>
              </w:rPr>
            </w:pPr>
            <w:r>
              <w:rPr>
                <w:rFonts w:ascii="Arial Narrow" w:eastAsia="Arial Narrow" w:hAnsi="Arial Narrow" w:cs="Arial Narrow"/>
                <w:sz w:val="20"/>
                <w:szCs w:val="20"/>
              </w:rPr>
              <w:t xml:space="preserve">Readability Level: </w:t>
            </w:r>
          </w:p>
          <w:p w14:paraId="5DE4F76F" w14:textId="77777777" w:rsidR="00022DE9" w:rsidRDefault="007A1675">
            <w:pPr>
              <w:rPr>
                <w:rFonts w:ascii="Arial Narrow" w:eastAsia="Arial Narrow" w:hAnsi="Arial Narrow" w:cs="Arial Narrow"/>
                <w:b/>
              </w:rPr>
            </w:pPr>
            <w:r>
              <w:rPr>
                <w:rFonts w:ascii="Arial Narrow" w:eastAsia="Arial Narrow" w:hAnsi="Arial Narrow" w:cs="Arial Narrow"/>
                <w:b/>
                <w:sz w:val="28"/>
                <w:szCs w:val="28"/>
              </w:rPr>
              <w:t>Learning Resources Guidelines</w:t>
            </w:r>
          </w:p>
          <w:p w14:paraId="33F54926" w14:textId="77777777" w:rsidR="00022DE9" w:rsidRDefault="007A1675">
            <w:pPr>
              <w:numPr>
                <w:ilvl w:val="0"/>
                <w:numId w:val="2"/>
              </w:numPr>
              <w:rPr>
                <w:rFonts w:ascii="Arial Narrow" w:eastAsia="Arial Narrow" w:hAnsi="Arial Narrow" w:cs="Arial Narrow"/>
                <w:b/>
                <w:sz w:val="28"/>
                <w:szCs w:val="28"/>
              </w:rPr>
            </w:pPr>
            <w:r>
              <w:rPr>
                <w:rFonts w:ascii="Arial Narrow" w:eastAsia="Arial Narrow" w:hAnsi="Arial Narrow" w:cs="Arial Narrow"/>
                <w:sz w:val="20"/>
                <w:szCs w:val="20"/>
              </w:rPr>
              <w:t xml:space="preserve">The film meets the </w:t>
            </w:r>
            <w:hyperlink r:id="rId10">
              <w:r>
                <w:rPr>
                  <w:rFonts w:ascii="Arial Narrow" w:eastAsia="Arial Narrow" w:hAnsi="Arial Narrow" w:cs="Arial Narrow"/>
                  <w:color w:val="0000FF"/>
                  <w:sz w:val="20"/>
                  <w:szCs w:val="20"/>
                  <w:u w:val="single"/>
                </w:rPr>
                <w:t>Learning Resources Guidelines</w:t>
              </w:r>
            </w:hyperlink>
            <w:r>
              <w:rPr>
                <w:rFonts w:ascii="Arial Narrow" w:eastAsia="Arial Narrow" w:hAnsi="Arial Narrow" w:cs="Arial Narrow"/>
                <w:sz w:val="20"/>
                <w:szCs w:val="20"/>
              </w:rPr>
              <w:t xml:space="preserve"> and </w:t>
            </w:r>
            <w:hyperlink r:id="rId11">
              <w:r>
                <w:rPr>
                  <w:rFonts w:ascii="Arial Narrow" w:eastAsia="Arial Narrow" w:hAnsi="Arial Narrow" w:cs="Arial Narrow"/>
                  <w:color w:val="0000FF"/>
                  <w:sz w:val="20"/>
                  <w:szCs w:val="20"/>
                  <w:u w:val="single"/>
                </w:rPr>
                <w:t>Board Policy.</w:t>
              </w:r>
            </w:hyperlink>
          </w:p>
          <w:p w14:paraId="6403F8E4" w14:textId="77777777" w:rsidR="00022DE9" w:rsidRDefault="00022DE9">
            <w:pPr>
              <w:rPr>
                <w:rFonts w:ascii="Arial Narrow" w:eastAsia="Arial Narrow" w:hAnsi="Arial Narrow" w:cs="Arial Narrow"/>
                <w:b/>
                <w:i/>
                <w:sz w:val="28"/>
                <w:szCs w:val="28"/>
              </w:rPr>
            </w:pPr>
          </w:p>
          <w:p w14:paraId="0770249D" w14:textId="77777777" w:rsidR="00022DE9" w:rsidRDefault="007A1675">
            <w:pPr>
              <w:rPr>
                <w:rFonts w:ascii="Arial Narrow" w:eastAsia="Arial Narrow" w:hAnsi="Arial Narrow" w:cs="Arial Narrow"/>
                <w:b/>
                <w:sz w:val="28"/>
                <w:szCs w:val="28"/>
              </w:rPr>
            </w:pPr>
            <w:r>
              <w:rPr>
                <w:rFonts w:ascii="Arial Narrow" w:eastAsia="Arial Narrow" w:hAnsi="Arial Narrow" w:cs="Arial Narrow"/>
                <w:b/>
                <w:sz w:val="28"/>
                <w:szCs w:val="28"/>
              </w:rPr>
              <w:t>Approval:</w:t>
            </w:r>
          </w:p>
          <w:p w14:paraId="74395015" w14:textId="77777777" w:rsidR="00022DE9" w:rsidRDefault="007A1675">
            <w:pPr>
              <w:rPr>
                <w:rFonts w:ascii="Arial Narrow" w:eastAsia="Arial Narrow" w:hAnsi="Arial Narrow" w:cs="Arial Narrow"/>
                <w:b/>
                <w:sz w:val="20"/>
                <w:szCs w:val="20"/>
              </w:rPr>
            </w:pPr>
            <w:r>
              <w:rPr>
                <w:rFonts w:ascii="Arial Narrow" w:eastAsia="Arial Narrow" w:hAnsi="Arial Narrow" w:cs="Arial Narrow"/>
                <w:b/>
                <w:sz w:val="20"/>
                <w:szCs w:val="20"/>
              </w:rPr>
              <w:t>Submitted to Committee: [June 2024]</w:t>
            </w:r>
          </w:p>
          <w:p w14:paraId="55C2268B" w14:textId="77777777" w:rsidR="00022DE9" w:rsidRDefault="007A1675">
            <w:pPr>
              <w:rPr>
                <w:rFonts w:ascii="Arial Narrow" w:eastAsia="Arial Narrow" w:hAnsi="Arial Narrow" w:cs="Arial Narrow"/>
                <w:b/>
                <w:sz w:val="20"/>
                <w:szCs w:val="20"/>
              </w:rPr>
            </w:pPr>
            <w:r>
              <w:rPr>
                <w:rFonts w:ascii="Arial Narrow" w:eastAsia="Arial Narrow" w:hAnsi="Arial Narrow" w:cs="Arial Narrow"/>
                <w:b/>
                <w:sz w:val="20"/>
                <w:szCs w:val="20"/>
              </w:rPr>
              <w:t xml:space="preserve">Approved for Adoption: </w:t>
            </w:r>
          </w:p>
          <w:p w14:paraId="144D9883" w14:textId="77777777" w:rsidR="00022DE9" w:rsidRDefault="00022DE9"/>
        </w:tc>
      </w:tr>
      <w:tr w:rsidR="00022DE9" w14:paraId="35815EAB" w14:textId="77777777">
        <w:tc>
          <w:tcPr>
            <w:tcW w:w="5508" w:type="dxa"/>
            <w:tcBorders>
              <w:top w:val="single" w:sz="4" w:space="0" w:color="000000"/>
              <w:left w:val="single" w:sz="4" w:space="0" w:color="000000"/>
              <w:bottom w:val="nil"/>
              <w:right w:val="single" w:sz="4" w:space="0" w:color="000000"/>
            </w:tcBorders>
            <w:shd w:val="clear" w:color="auto" w:fill="auto"/>
          </w:tcPr>
          <w:p w14:paraId="650C3149" w14:textId="77777777" w:rsidR="00022DE9" w:rsidRDefault="007A1675">
            <w:pPr>
              <w:rPr>
                <w:rFonts w:ascii="Arial Narrow" w:eastAsia="Arial Narrow" w:hAnsi="Arial Narrow" w:cs="Arial Narrow"/>
                <w:b/>
                <w:sz w:val="28"/>
                <w:szCs w:val="28"/>
              </w:rPr>
            </w:pPr>
            <w:r>
              <w:rPr>
                <w:rFonts w:ascii="Arial Narrow" w:eastAsia="Arial Narrow" w:hAnsi="Arial Narrow" w:cs="Arial Narrow"/>
                <w:b/>
                <w:sz w:val="28"/>
                <w:szCs w:val="28"/>
              </w:rPr>
              <w:t>Notes on the Text:</w:t>
            </w:r>
          </w:p>
          <w:p w14:paraId="1FCBA599" w14:textId="77777777" w:rsidR="00022DE9" w:rsidRDefault="00022DE9">
            <w:pPr>
              <w:rPr>
                <w:rFonts w:ascii="Arial Narrow" w:eastAsia="Arial Narrow" w:hAnsi="Arial Narrow" w:cs="Arial Narrow"/>
                <w:i/>
                <w:color w:val="000000"/>
                <w:sz w:val="16"/>
                <w:szCs w:val="16"/>
              </w:rPr>
            </w:pPr>
          </w:p>
          <w:p w14:paraId="629C9D85" w14:textId="77777777" w:rsidR="00022DE9" w:rsidRDefault="007A1675">
            <w:pPr>
              <w:rPr>
                <w:rFonts w:ascii="Arial Narrow" w:eastAsia="Arial Narrow" w:hAnsi="Arial Narrow" w:cs="Arial Narrow"/>
                <w:sz w:val="20"/>
                <w:szCs w:val="20"/>
              </w:rPr>
            </w:pPr>
            <w:r>
              <w:rPr>
                <w:rFonts w:ascii="Arial Narrow" w:eastAsia="Arial Narrow" w:hAnsi="Arial Narrow" w:cs="Arial Narrow"/>
                <w:sz w:val="20"/>
                <w:szCs w:val="20"/>
              </w:rPr>
              <w:t xml:space="preserve">This text fits in perfectly with the Grade 9 Unit on language and manipulation.  We primarily study the Russian Revolution and Soviet Union in this unit; it is beneficial to look at a parallel revolution in another part of the world.  </w:t>
            </w:r>
            <w:r>
              <w:rPr>
                <w:rFonts w:ascii="Arial Narrow" w:eastAsia="Arial Narrow" w:hAnsi="Arial Narrow" w:cs="Arial Narrow"/>
                <w:i/>
                <w:sz w:val="20"/>
                <w:szCs w:val="20"/>
              </w:rPr>
              <w:t>Red Scarf Girl</w:t>
            </w:r>
            <w:r>
              <w:rPr>
                <w:rFonts w:ascii="Arial Narrow" w:eastAsia="Arial Narrow" w:hAnsi="Arial Narrow" w:cs="Arial Narrow"/>
                <w:sz w:val="20"/>
                <w:szCs w:val="20"/>
              </w:rPr>
              <w:t xml:space="preserve"> is also a first-hand account of the revolution, making an excellent text to pair with </w:t>
            </w:r>
            <w:r>
              <w:rPr>
                <w:rFonts w:ascii="Arial Narrow" w:eastAsia="Arial Narrow" w:hAnsi="Arial Narrow" w:cs="Arial Narrow"/>
                <w:i/>
                <w:sz w:val="20"/>
                <w:szCs w:val="20"/>
              </w:rPr>
              <w:t>Animal Farm</w:t>
            </w:r>
            <w:r>
              <w:rPr>
                <w:rFonts w:ascii="Arial Narrow" w:eastAsia="Arial Narrow" w:hAnsi="Arial Narrow" w:cs="Arial Narrow"/>
                <w:sz w:val="20"/>
                <w:szCs w:val="20"/>
              </w:rPr>
              <w:t>, which, as an allegory written by an outsider,  may seem a little distant/disconnected from real events.</w:t>
            </w:r>
          </w:p>
        </w:tc>
        <w:tc>
          <w:tcPr>
            <w:tcW w:w="5508" w:type="dxa"/>
            <w:tcBorders>
              <w:left w:val="single" w:sz="4" w:space="0" w:color="000000"/>
            </w:tcBorders>
            <w:shd w:val="clear" w:color="auto" w:fill="auto"/>
          </w:tcPr>
          <w:p w14:paraId="2D53E756" w14:textId="77777777" w:rsidR="00022DE9" w:rsidRDefault="007A1675">
            <w:pPr>
              <w:rPr>
                <w:rFonts w:ascii="Arial Narrow" w:eastAsia="Arial Narrow" w:hAnsi="Arial Narrow" w:cs="Arial Narrow"/>
                <w:i/>
                <w:color w:val="000066"/>
              </w:rPr>
            </w:pPr>
            <w:r>
              <w:rPr>
                <w:rFonts w:ascii="Arial Narrow" w:eastAsia="Arial Narrow" w:hAnsi="Arial Narrow" w:cs="Arial Narrow"/>
                <w:b/>
                <w:sz w:val="28"/>
                <w:szCs w:val="28"/>
              </w:rPr>
              <w:t>Connection to the Curriculum:</w:t>
            </w:r>
          </w:p>
          <w:p w14:paraId="06DE96ED" w14:textId="77777777" w:rsidR="00022DE9" w:rsidRDefault="00022DE9">
            <w:pPr>
              <w:rPr>
                <w:rFonts w:ascii="Arial Narrow" w:eastAsia="Arial Narrow" w:hAnsi="Arial Narrow" w:cs="Arial Narrow"/>
                <w:b/>
                <w:sz w:val="28"/>
                <w:szCs w:val="28"/>
              </w:rPr>
            </w:pPr>
          </w:p>
          <w:p w14:paraId="2450BCEB" w14:textId="77777777" w:rsidR="00022DE9" w:rsidRDefault="007A1675">
            <w:pPr>
              <w:rPr>
                <w:rFonts w:ascii="Arial Narrow" w:eastAsia="Arial Narrow" w:hAnsi="Arial Narrow" w:cs="Arial Narrow"/>
                <w:b/>
                <w:i/>
                <w:sz w:val="22"/>
                <w:szCs w:val="22"/>
              </w:rPr>
            </w:pPr>
            <w:r>
              <w:rPr>
                <w:rFonts w:ascii="Arial Narrow" w:eastAsia="Arial Narrow" w:hAnsi="Arial Narrow" w:cs="Arial Narrow"/>
                <w:b/>
                <w:sz w:val="28"/>
                <w:szCs w:val="28"/>
              </w:rPr>
              <w:t xml:space="preserve">Standard Alignment: </w:t>
            </w:r>
            <w:r>
              <w:rPr>
                <w:rFonts w:ascii="Arial Narrow" w:eastAsia="Arial Narrow" w:hAnsi="Arial Narrow" w:cs="Arial Narrow"/>
                <w:b/>
                <w:i/>
                <w:sz w:val="22"/>
                <w:szCs w:val="22"/>
              </w:rPr>
              <w:t>(Type which standard number then link to specific standard document on OPI website.)</w:t>
            </w:r>
          </w:p>
          <w:p w14:paraId="486C4D66" w14:textId="77777777" w:rsidR="00022DE9" w:rsidRDefault="007A1675">
            <w:pPr>
              <w:rPr>
                <w:color w:val="0000FF"/>
                <w:u w:val="single"/>
              </w:rPr>
            </w:pPr>
            <w:r>
              <w:fldChar w:fldCharType="begin"/>
            </w:r>
            <w:r>
              <w:instrText xml:space="preserve"> HYPERLINK "https://opi.mt.gov/LinkClick.aspx?fileticket=j4gYycvfE38%3d&amp;portalid=182" </w:instrText>
            </w:r>
            <w:r>
              <w:fldChar w:fldCharType="separate"/>
            </w:r>
            <w:r>
              <w:rPr>
                <w:color w:val="0000FF"/>
                <w:u w:val="single"/>
              </w:rPr>
              <w:t>RL.11-12.2</w:t>
            </w:r>
          </w:p>
          <w:p w14:paraId="7DE22D93" w14:textId="77777777" w:rsidR="00022DE9" w:rsidRDefault="007A1675">
            <w:pPr>
              <w:rPr>
                <w:color w:val="0000FF"/>
                <w:u w:val="single"/>
              </w:rPr>
            </w:pPr>
            <w:r>
              <w:rPr>
                <w:color w:val="0000FF"/>
                <w:u w:val="single"/>
              </w:rPr>
              <w:t>RL.11-12.3</w:t>
            </w:r>
          </w:p>
          <w:p w14:paraId="68FB5357" w14:textId="77777777" w:rsidR="00022DE9" w:rsidRDefault="007A1675">
            <w:pPr>
              <w:rPr>
                <w:color w:val="0000FF"/>
                <w:u w:val="single"/>
              </w:rPr>
            </w:pPr>
            <w:r>
              <w:rPr>
                <w:color w:val="0000FF"/>
                <w:u w:val="single"/>
              </w:rPr>
              <w:t>RL.11-12.4</w:t>
            </w:r>
          </w:p>
          <w:p w14:paraId="0CB92306" w14:textId="77777777" w:rsidR="00022DE9" w:rsidRDefault="007A1675">
            <w:pPr>
              <w:rPr>
                <w:rFonts w:ascii="Arial Narrow" w:eastAsia="Arial Narrow" w:hAnsi="Arial Narrow" w:cs="Arial Narrow"/>
              </w:rPr>
            </w:pPr>
            <w:r>
              <w:rPr>
                <w:color w:val="0000FF"/>
                <w:u w:val="single"/>
              </w:rPr>
              <w:t>RL.11-12.10</w:t>
            </w:r>
            <w:r>
              <w:fldChar w:fldCharType="end"/>
            </w:r>
          </w:p>
        </w:tc>
      </w:tr>
      <w:tr w:rsidR="00022DE9" w14:paraId="56D811DB" w14:textId="77777777">
        <w:tc>
          <w:tcPr>
            <w:tcW w:w="11016" w:type="dxa"/>
            <w:gridSpan w:val="2"/>
            <w:shd w:val="clear" w:color="auto" w:fill="auto"/>
          </w:tcPr>
          <w:p w14:paraId="3F199685" w14:textId="77777777" w:rsidR="00022DE9" w:rsidRDefault="007A1675">
            <w:pPr>
              <w:jc w:val="center"/>
              <w:rPr>
                <w:rFonts w:ascii="Arial Narrow" w:eastAsia="Arial Narrow" w:hAnsi="Arial Narrow" w:cs="Arial Narrow"/>
                <w:i/>
              </w:rPr>
            </w:pPr>
            <w:r>
              <w:rPr>
                <w:rFonts w:ascii="Arial Narrow" w:eastAsia="Arial Narrow" w:hAnsi="Arial Narrow" w:cs="Arial Narrow"/>
                <w:b/>
                <w:sz w:val="28"/>
                <w:szCs w:val="28"/>
              </w:rPr>
              <w:t>Additional Connections</w:t>
            </w:r>
            <w:r>
              <w:rPr>
                <w:rFonts w:ascii="Arial Narrow" w:eastAsia="Arial Narrow" w:hAnsi="Arial Narrow" w:cs="Arial Narrow"/>
                <w:b/>
                <w:i/>
              </w:rPr>
              <w:t>:</w:t>
            </w:r>
          </w:p>
          <w:p w14:paraId="53B04255" w14:textId="77777777" w:rsidR="00022DE9" w:rsidRDefault="007A1675">
            <w:pPr>
              <w:jc w:val="center"/>
              <w:rPr>
                <w:rFonts w:ascii="Arial Narrow" w:eastAsia="Arial Narrow" w:hAnsi="Arial Narrow" w:cs="Arial Narrow"/>
                <w:sz w:val="16"/>
                <w:szCs w:val="16"/>
              </w:rPr>
            </w:pPr>
            <w:r>
              <w:rPr>
                <w:rFonts w:ascii="Arial Narrow" w:eastAsia="Arial Narrow" w:hAnsi="Arial Narrow" w:cs="Arial Narrow"/>
                <w:i/>
                <w:sz w:val="16"/>
                <w:szCs w:val="16"/>
              </w:rPr>
              <w:t xml:space="preserve">Animal Farm </w:t>
            </w:r>
            <w:r>
              <w:rPr>
                <w:rFonts w:ascii="Arial Narrow" w:eastAsia="Arial Narrow" w:hAnsi="Arial Narrow" w:cs="Arial Narrow"/>
                <w:sz w:val="16"/>
                <w:szCs w:val="16"/>
              </w:rPr>
              <w:t>by George Orwell</w:t>
            </w:r>
          </w:p>
          <w:p w14:paraId="2BEDA4CD" w14:textId="77777777" w:rsidR="00022DE9" w:rsidRDefault="00022DE9"/>
        </w:tc>
      </w:tr>
    </w:tbl>
    <w:p w14:paraId="3A31E00A" w14:textId="77777777" w:rsidR="00022DE9" w:rsidRDefault="007A1675">
      <w:r>
        <w:t xml:space="preserve">Works Cited: Strom, Adam. “Rationale.” </w:t>
      </w:r>
      <w:r>
        <w:rPr>
          <w:i/>
        </w:rPr>
        <w:t>Teaching Red Scarf Girl</w:t>
      </w:r>
      <w:r>
        <w:t xml:space="preserve">, Facing History and Ourselves, 2009, </w:t>
      </w:r>
    </w:p>
    <w:p w14:paraId="266CC58A" w14:textId="77777777" w:rsidR="00022DE9" w:rsidRDefault="007A1675">
      <w:pPr>
        <w:ind w:firstLine="720"/>
      </w:pPr>
      <w:r>
        <w:t>https://www.facinghistory.org/sites/default/files/2022-06/Teaching_Red_Scarf_Girl_1.pdf.</w:t>
      </w:r>
    </w:p>
    <w:sectPr w:rsidR="00022DE9">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D4DED" w14:textId="77777777" w:rsidR="007A1675" w:rsidRDefault="007A1675">
      <w:r>
        <w:separator/>
      </w:r>
    </w:p>
  </w:endnote>
  <w:endnote w:type="continuationSeparator" w:id="0">
    <w:p w14:paraId="4967070C" w14:textId="77777777" w:rsidR="007A1675" w:rsidRDefault="007A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3B610E-B8A2-42C1-9F42-A2A5A7F950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32B0FD3-A863-4FFE-B1E2-1D7139A15530}"/>
    <w:embedBold r:id="rId3" w:fontKey="{30FE4380-B202-49A5-BB5F-32FE5BCDCF04}"/>
    <w:embedBoldItalic r:id="rId4" w:fontKey="{CC57108C-C4AC-45E0-86A3-1E9883618714}"/>
  </w:font>
  <w:font w:name="Calibri">
    <w:panose1 w:val="020F0502020204030204"/>
    <w:charset w:val="00"/>
    <w:family w:val="swiss"/>
    <w:pitch w:val="variable"/>
    <w:sig w:usb0="E4002EFF" w:usb1="C000247B" w:usb2="00000009" w:usb3="00000000" w:csb0="000001FF" w:csb1="00000000"/>
    <w:embedRegular r:id="rId5" w:fontKey="{9CF56D3D-9039-46E2-9647-7A770649C1DA}"/>
  </w:font>
  <w:font w:name="Segoe UI">
    <w:panose1 w:val="020B0502040204020203"/>
    <w:charset w:val="00"/>
    <w:family w:val="roman"/>
    <w:notTrueType/>
    <w:pitch w:val="default"/>
    <w:embedRegular r:id="rId6" w:fontKey="{82413293-87DE-4044-B2FF-7BD148085F40}"/>
  </w:font>
  <w:font w:name="Georgia">
    <w:panose1 w:val="02040502050405020303"/>
    <w:charset w:val="00"/>
    <w:family w:val="auto"/>
    <w:pitch w:val="default"/>
    <w:embedRegular r:id="rId7" w:fontKey="{D45D865E-CB2F-4891-B8E4-955E4228B45E}"/>
    <w:embedItalic r:id="rId8" w:fontKey="{0EB983CB-5AE8-411C-BE06-15A8D8ECE136}"/>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6A128999-B931-4B81-8A67-78B639427CF1}"/>
    <w:embedBold r:id="rId10" w:fontKey="{02D4A539-07A8-4E4D-A032-D00D81908104}"/>
    <w:embedItalic r:id="rId11" w:fontKey="{45B0011A-0DCD-407D-B667-FB8FF0040CB5}"/>
    <w:embedBoldItalic r:id="rId12" w:fontKey="{8F8A5A87-7633-42EF-AEF5-343D7968BCE7}"/>
  </w:font>
  <w:font w:name="Calibri Light">
    <w:panose1 w:val="020F0302020204030204"/>
    <w:charset w:val="00"/>
    <w:family w:val="swiss"/>
    <w:pitch w:val="variable"/>
    <w:sig w:usb0="E4002EFF" w:usb1="C000247B" w:usb2="00000009" w:usb3="00000000" w:csb0="000001FF" w:csb1="00000000"/>
    <w:embedRegular r:id="rId13" w:fontKey="{B4A5FA3E-9114-45B0-BE90-4A98C7C3FD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01A46" w14:textId="77777777" w:rsidR="007A1675" w:rsidRDefault="007A1675">
      <w:r>
        <w:separator/>
      </w:r>
    </w:p>
  </w:footnote>
  <w:footnote w:type="continuationSeparator" w:id="0">
    <w:p w14:paraId="2C7EDBE5" w14:textId="77777777" w:rsidR="007A1675" w:rsidRDefault="007A1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9C59" w14:textId="77777777" w:rsidR="00022DE9" w:rsidRDefault="007A1675">
    <w:pPr>
      <w:pBdr>
        <w:top w:val="nil"/>
        <w:left w:val="nil"/>
        <w:bottom w:val="single" w:sz="4" w:space="1" w:color="000000"/>
        <w:right w:val="nil"/>
        <w:between w:val="nil"/>
      </w:pBdr>
      <w:tabs>
        <w:tab w:val="center" w:pos="4320"/>
        <w:tab w:val="right" w:pos="8640"/>
      </w:tabs>
      <w:rPr>
        <w:b/>
        <w:color w:val="000080"/>
        <w:sz w:val="20"/>
        <w:szCs w:val="20"/>
      </w:rPr>
    </w:pPr>
    <w:r>
      <w:rPr>
        <w:rFonts w:ascii="Cambria" w:eastAsia="Cambria" w:hAnsi="Cambria" w:cs="Cambria"/>
        <w:b/>
        <w:i/>
        <w:color w:val="000080"/>
        <w:sz w:val="44"/>
        <w:szCs w:val="44"/>
      </w:rPr>
      <w:t>Title:</w:t>
    </w:r>
    <w:r>
      <w:rPr>
        <w:rFonts w:ascii="Cambria" w:eastAsia="Cambria" w:hAnsi="Cambria" w:cs="Cambria"/>
        <w:b/>
        <w:i/>
        <w:color w:val="000080"/>
        <w:sz w:val="44"/>
        <w:szCs w:val="44"/>
      </w:rPr>
      <w:t xml:space="preserve">Red Scarf Girl </w:t>
    </w:r>
    <w:r>
      <w:rPr>
        <w:rFonts w:ascii="Cambria" w:eastAsia="Cambria" w:hAnsi="Cambria" w:cs="Cambria"/>
        <w:b/>
        <w:color w:val="000080"/>
        <w:sz w:val="28"/>
        <w:szCs w:val="28"/>
      </w:rPr>
      <w:t xml:space="preserve">by </w:t>
    </w:r>
    <w:r>
      <w:rPr>
        <w:rFonts w:ascii="Cambria" w:eastAsia="Cambria" w:hAnsi="Cambria" w:cs="Cambria"/>
        <w:b/>
        <w:color w:val="000080"/>
        <w:sz w:val="28"/>
        <w:szCs w:val="28"/>
      </w:rPr>
      <w:t xml:space="preserve">Ji Li Jiang </w:t>
    </w:r>
    <w:r>
      <w:rPr>
        <w:rFonts w:ascii="Cambria" w:eastAsia="Cambria" w:hAnsi="Cambria" w:cs="Cambria"/>
        <w:b/>
        <w:color w:val="000080"/>
        <w:sz w:val="20"/>
        <w:szCs w:val="20"/>
      </w:rPr>
      <w:t>(Published in</w:t>
    </w:r>
    <w:r>
      <w:rPr>
        <w:rFonts w:ascii="Cambria" w:eastAsia="Cambria" w:hAnsi="Cambria" w:cs="Cambria"/>
        <w:b/>
        <w:color w:val="000080"/>
        <w:sz w:val="20"/>
        <w:szCs w:val="20"/>
      </w:rPr>
      <w:t xml:space="preserve"> 1997</w:t>
    </w:r>
    <w:r>
      <w:rPr>
        <w:rFonts w:ascii="Cambria" w:eastAsia="Cambria" w:hAnsi="Cambria" w:cs="Cambria"/>
        <w:b/>
        <w:color w:val="000080"/>
        <w:sz w:val="20"/>
        <w:szCs w:val="20"/>
      </w:rPr>
      <w:t>)</w:t>
    </w:r>
  </w:p>
  <w:p w14:paraId="6A24C11F" w14:textId="77777777" w:rsidR="00022DE9" w:rsidRDefault="00022DE9">
    <w:pPr>
      <w:pBdr>
        <w:top w:val="nil"/>
        <w:left w:val="nil"/>
        <w:bottom w:val="nil"/>
        <w:right w:val="nil"/>
        <w:between w:val="nil"/>
      </w:pBdr>
      <w:tabs>
        <w:tab w:val="center" w:pos="4320"/>
        <w:tab w:val="right" w:pos="8640"/>
      </w:tabs>
      <w:rPr>
        <w:color w:val="000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AE0135"/>
    <w:multiLevelType w:val="multilevel"/>
    <w:tmpl w:val="FA0C4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414621"/>
    <w:multiLevelType w:val="multilevel"/>
    <w:tmpl w:val="2E9A3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7418984">
    <w:abstractNumId w:val="0"/>
  </w:num>
  <w:num w:numId="2" w16cid:durableId="1253473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DE9"/>
    <w:rsid w:val="00022DE9"/>
    <w:rsid w:val="00477771"/>
    <w:rsid w:val="007A1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B20E69"/>
  <w15:docId w15:val="{90D57D3E-CA3E-4EF1-84E7-B7E6E113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5575F"/>
    <w:pPr>
      <w:pBdr>
        <w:bottom w:val="single" w:sz="8" w:space="4" w:color="4F81BD"/>
      </w:pBdr>
      <w:spacing w:after="300"/>
      <w:contextualSpacing/>
    </w:pPr>
    <w:rPr>
      <w:rFonts w:ascii="Cambria" w:eastAsia="Calibri" w:hAnsi="Cambria"/>
      <w:color w:val="17365D"/>
      <w:spacing w:val="5"/>
      <w:kern w:val="28"/>
      <w:sz w:val="52"/>
      <w:szCs w:val="52"/>
    </w:rPr>
  </w:style>
  <w:style w:type="paragraph" w:styleId="Header">
    <w:name w:val="header"/>
    <w:basedOn w:val="Normal"/>
    <w:rsid w:val="0055575F"/>
    <w:pPr>
      <w:tabs>
        <w:tab w:val="center" w:pos="4320"/>
        <w:tab w:val="right" w:pos="8640"/>
      </w:tabs>
    </w:pPr>
  </w:style>
  <w:style w:type="paragraph" w:styleId="Footer">
    <w:name w:val="footer"/>
    <w:basedOn w:val="Normal"/>
    <w:rsid w:val="0055575F"/>
    <w:pPr>
      <w:tabs>
        <w:tab w:val="center" w:pos="4320"/>
        <w:tab w:val="right" w:pos="8640"/>
      </w:tabs>
    </w:pPr>
  </w:style>
  <w:style w:type="table" w:styleId="TableGrid">
    <w:name w:val="Table Grid"/>
    <w:basedOn w:val="TableNormal"/>
    <w:rsid w:val="0055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qFormat/>
    <w:rsid w:val="002D6282"/>
    <w:rPr>
      <w:rFonts w:cs="Times New Roman"/>
      <w:b/>
      <w:bCs/>
      <w:i/>
      <w:iCs/>
      <w:color w:val="4F81BD"/>
    </w:rPr>
  </w:style>
  <w:style w:type="character" w:styleId="Hyperlink">
    <w:name w:val="Hyperlink"/>
    <w:rsid w:val="00632DB8"/>
    <w:rPr>
      <w:color w:val="0000FF"/>
      <w:u w:val="single"/>
    </w:rPr>
  </w:style>
  <w:style w:type="character" w:styleId="UnresolvedMention">
    <w:name w:val="Unresolved Mention"/>
    <w:uiPriority w:val="99"/>
    <w:semiHidden/>
    <w:unhideWhenUsed/>
    <w:rsid w:val="002E76F6"/>
    <w:rPr>
      <w:color w:val="605E5C"/>
      <w:shd w:val="clear" w:color="auto" w:fill="E1DFDD"/>
    </w:rPr>
  </w:style>
  <w:style w:type="paragraph" w:customStyle="1" w:styleId="pf0">
    <w:name w:val="pf0"/>
    <w:basedOn w:val="Normal"/>
    <w:rsid w:val="00883105"/>
    <w:pPr>
      <w:spacing w:before="100" w:beforeAutospacing="1" w:after="100" w:afterAutospacing="1"/>
    </w:pPr>
  </w:style>
  <w:style w:type="character" w:customStyle="1" w:styleId="cf01">
    <w:name w:val="cf01"/>
    <w:rsid w:val="00883105"/>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kirkusreviews.com/book-reviews/ji-li-jiang/red-scarf-gir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sd1-my.sharepoint.com/:b:/g/personal/mschulte_helenaschools_org/EZuo14P7UR5JunDDt5VnyPkBLkEjekdhlHtAZyuwY8VvHA?e=rLhuna"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publishersweekly.com/978006027585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WRXVmR+GNEv3OZ6Y/4vAW2VsQ==">CgMxLjA4AHIhMU55dV84ZzhOTkVmdUdia0hMalEtVTZvTEEwbHVfMjRx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472</Words>
  <Characters>2693</Characters>
  <Application>Microsoft Office Word</Application>
  <DocSecurity>4</DocSecurity>
  <Lines>22</Lines>
  <Paragraphs>6</Paragraphs>
  <ScaleCrop>false</ScaleCrop>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cseitz</dc:creator>
  <cp:lastModifiedBy>Salois, Katrina</cp:lastModifiedBy>
  <cp:revision>2</cp:revision>
  <dcterms:created xsi:type="dcterms:W3CDTF">2024-08-09T15:08:00Z</dcterms:created>
  <dcterms:modified xsi:type="dcterms:W3CDTF">2024-08-09T15:08:00Z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a4abefa7a862098c926257e2254fbd0f6e67b372eb1b92cc92eda96afaead748</vt:lpwstr>
  </property>
</Properties>
</file>